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4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after="24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Hospice of Southern Illinois</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305 S. Illinois</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Belleville, Il 62220</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December 2014-July 2016</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$101,131</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Joshua Anderson, Abbey Cole, Michelle Goodyear, Taryn Moore</w:t>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line="480"/>
        <w:contextualSpacing w:val="0"/>
        <w:jc w:val="left"/>
      </w:pPr>
      <w:r w:rsidRPr="00000000" w:rsidR="00000000" w:rsidDel="00000000">
        <w:rPr>
          <w:rtl w:val="0"/>
        </w:rPr>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Agency Description</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Hospice of Southern Illinois is a not-for-profit organization, serving twenty-seven counties in Southern Illinois and the St. Louis metro-east area since 1981. They serve individuals of all ages regardless of their ability to pay. Their programs and services are aimed at families and their loved ones who are terminally ill or in need of end-of-life care. The mission of Hospice of Southern Illinois is to improve the quality of life for terminally ill individuals and their loved ones. Their goal is to educate people on hospice care and how to seek help through community outreach programs according to the Hospice of Southern Illinois (2014).</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        </w:t>
        <w:tab/>
        <w:t xml:space="preserve">Hospice of Southern Illinois offers several different programs. Grief Support Groups offer grief and bereavement counseling support to families after losing a loved one to a terminal illness. This service can be provided by in-home services, telephone, or educational grief support. Memorial Gatherings occur yearly in a group of around sixty people. This is a time where individuals have the opportunity to come together and share memories of their loved ones with others. Attendees of the Memorial Gatherings are encouraged to bring objects from their loved ones; these objects get placed on a remembrance table for everyone to view and mourn.   Children’s Grief Camps are aimed for children between the ages of five and seventeen who have experienced death of a parent or loved one to a terminal illness. The Tree of Life is a holiday memorial service honoring loved ones. Magnum, the service dog, soothes emotions of hospice patients and their loved ones. The above programs are proven to be successful to the satisfaction of the patients and their loved ones.</w:t>
      </w:r>
    </w:p>
    <w:p w:rsidP="00000000" w:rsidRPr="00000000" w:rsidR="00000000" w:rsidDel="00000000" w:rsidRDefault="00000000">
      <w:pPr>
        <w:spacing w:lineRule="auto" w:after="240" w:line="480"/>
        <w:contextualSpacing w:val="0"/>
        <w:jc w:val="center"/>
      </w:pPr>
      <w:r w:rsidRPr="00000000" w:rsidR="00000000" w:rsidDel="00000000">
        <w:rPr>
          <w:rtl w:val="0"/>
        </w:rPr>
      </w:r>
    </w:p>
    <w:p w:rsidP="00000000" w:rsidRPr="00000000" w:rsidR="00000000" w:rsidDel="00000000" w:rsidRDefault="00000000">
      <w:pPr>
        <w:spacing w:lineRule="auto" w:line="480"/>
        <w:contextualSpacing w:val="0"/>
        <w:jc w:val="left"/>
      </w:pPr>
      <w:r w:rsidRPr="00000000" w:rsidR="00000000" w:rsidDel="00000000">
        <w:rPr>
          <w:rtl w:val="0"/>
        </w:rPr>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Community Problem Statement</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ind w:firstLine="720"/>
        <w:contextualSpacing w:val="0"/>
        <w:rPr/>
      </w:pPr>
      <w:r w:rsidRPr="00000000" w:rsidR="00000000" w:rsidDel="00000000">
        <w:rPr>
          <w:rFonts w:cs="Times New Roman" w:hAnsi="Times New Roman" w:eastAsia="Times New Roman" w:ascii="Times New Roman"/>
          <w:sz w:val="24"/>
          <w:rtl w:val="0"/>
        </w:rPr>
        <w:t xml:space="preserve">According to Ewing (2012), the elderly population of the United States will more than double in the next four decades. The number of people ages 65 and older will rise from 40.2 million in the year 2010 to over 88 million in 2050. The rate of people aged 85 and older will rise from 5.8 million in 2010 to 8.7 million in 2030 to nineteen million in 2050. The individuals aged 85 require many health services.</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According to Medpac (2012), research shows that those patients and families who choose hospice care, especially early within the six month hospice benefit period, live a higher quality of life during their final months. They also enjoy companionship and comfort with the aid of hospice staff and trained volunteers who assist the patient, as well as the family. Hospice staff helps patients with their care and needs through the emotional, spiritual, and physical aspects and help aid in improving their quality of life. According to Medpac (2012), choosing hospice care can also relieve the family members of many of their caregiver obligations which allow them to take on their other daily responsibilities. In addition, choosing hospice generally gives the patients the assurance that they do not have to die alone.</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According to the Mayo Clinic Staff (2013), hospice care works for terminally ill patients. They do not treat them for their disease, but they try to make them as comfortable as possible until their end of life nears. Hospice also provides support and counseling for their loved ones. Hospice care is not only limited to a nursing home or a hospice facility. According to Medpac (2012), hospice care is a service, in which patients have the option of receiving hospice care in the comfort of their own home as it allows them to be surrounded by their families and other loved ones. It is best to seek hospice care as early as possible. According to the Ministry Health Care (2013), even if an individual is not yet experiencing any symptoms, the individual and their families can get accustomed to receiving hospice care and work on the emotional and spiritual aspects that comes with losing a loved one to a terminal illness. According to Schockett, Teno, Miller, &amp; Stuart (2005), studies have shown that physicians are overly optimistic in their prognosis for patients with advanced diseases. Many families report that their loved ones receive too late of referrals citing physician barriers. According to Schockett et al. (2005), the families who report receiving too late of care also reported a higher rate of concerns, more unmet needs, and a greater dissatisfaction with the quality of care than the families who get their loved ones into hospice care early. Family members and other loved ones can also benefit from continuing counseling after the terminally ill individual has passed. According to Medpac (2012), hospice care provides many benefits to the terminally ill and everyone else involved and can greatly improve the ending of one’s life.</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There have been studies completed to identify any barriers to getting hospice services. According to </w:t>
      </w:r>
      <w:r w:rsidRPr="00000000" w:rsidR="00000000" w:rsidDel="00000000">
        <w:rPr>
          <w:rFonts w:cs="Times New Roman" w:hAnsi="Times New Roman" w:eastAsia="Times New Roman" w:ascii="Times New Roman"/>
          <w:sz w:val="24"/>
          <w:highlight w:val="white"/>
          <w:rtl w:val="0"/>
        </w:rPr>
        <w:t xml:space="preserve">Jackson, Myers Schim, Seely, Grunow, &amp; Baker (2000), </w:t>
      </w:r>
      <w:r w:rsidRPr="00000000" w:rsidR="00000000" w:rsidDel="00000000">
        <w:rPr>
          <w:rFonts w:cs="Times New Roman" w:hAnsi="Times New Roman" w:eastAsia="Times New Roman" w:ascii="Times New Roman"/>
          <w:sz w:val="24"/>
          <w:rtl w:val="0"/>
        </w:rPr>
        <w:t xml:space="preserve">the population that usually has the most barriers is ethnic minorities and African Americans. These barriers to ethnic minorities can include language and fear of discrimination. Barriers among African Americans can include economic factors, differences in values regarding medical care and lack of knowledge about hospice care. According to Jackson et al. (2000), lack of knowledge is the major barrier among the groups. Some people even perceive hospice as giving up hope or the physician giving up hope. According to Jackson et. al. (2000), some ways to reduce these barriers among these populations include making presentations about hospice to the African-American community, recruiting African-American staff and volunteers, supporting patient decision to choose hospice, and identify community resources.</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According to Medpac (2012), one example of a challenge that Hospice of Southern Illinois faces is that some of the Medical Directors for other for-profit hospice programs do not appear to give their patients options to make decisions for themselves about which hospice program they might choose. In all reality, they do have a choice in which hospice program to use. In fact, it is a Medicare law that they be given the choice. According to Medpac (2012), most of the hospice programs that are servicing Illinois are for-profit, nationally owned and run by large corporations. Most do not serve the rural county areas of Illinois because they are considered “high-reimbursement” regions by Medicare and therefore not profitable. High-reimbursement means that the area is saturated with too much hospice vs. the number of people dying. The population of terminally-ill individuals has risen slightly due to the aging of the baby-boomer generation. According to Medpac (2012), in 2000, 513,000 people used hospice services. In 2010, 1,159,000 people used hospice services. However, the number of additional new for-profit hospice programs in the high-reimbursement areas has far exceeded the need of these services. According to Medpac (2012), this increase has reduced the population of individuals referred to Hospice of Southern Illinois for care.</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According to Medpac (2012), over the last decade, the hospice care industry has seen a large increase in the number of for-profit organizations. Since 1981, Hospice of Southern Illinois has seen over twelve additional hospice programs move into its service area. Educating key medical field personnel including physicians, discharge planners, and long-term care facility staff about their patient’s options for not-for-profit based hospice care in a consistent, professional, highly-visible manner is a challenge for Hospice of Southern Illinois. This is because they do not have a large budget to spend on marketing materials. According to Medpac (2012), hospice of Southern Illinois is primarily funded through state and federal Medicare and Medicaid money for its services. This money goes directly back to patient care.</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Due to the increase in competition in the market area, it is clear that Hospice of Southern Illinois would benefit greatly with a larger quantity of professionally produced marketing materials, including bill boards and brochures. According to Stanley (2003), there are lot of potential consumers who are not aware of hospice care, and that is because there is a lack of marketing. It is not appropriate to blame doctors for not advertising; it is fair to say that hospice needs to make more efforts in their marketing strategies. In addition, marketing for hospice care should not be just to provide the public with general information. It is already hard enough for people to deal with the issue of death and dying, especially regarding loved ones. It should not cause people to feel a negative way. According to Stanley (2003), the marketing strategies focus on revealing the dynamic advantages of hospice care and produce a more positive perspective to draw more positive feelings about the matters.</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The internet is an outstanding source to use for marketing hospice care as it serves as an on-going display. One does not need strong marketing skills to develop and run a website. However, strategic planning needs to be put into action to make sure the website becomes effective. According to Business Wire (2011), when thoughtful planning is in place, it can make the marketing more effective even for referrers. Additionally, potential hospice patients, their family members, and the medical referral sources should be better informed about their options for not-for-profit care.</w:t>
      </w:r>
    </w:p>
    <w:p w:rsidP="00000000" w:rsidRPr="00000000" w:rsidR="00000000" w:rsidDel="00000000" w:rsidRDefault="00000000">
      <w:pPr>
        <w:spacing w:lineRule="auto" w:after="240"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after="240"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after="240" w:line="480"/>
        <w:contextualSpacing w:val="0"/>
        <w:jc w:val="cente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after="240" w:line="480"/>
        <w:contextualSpacing w:val="0"/>
        <w:jc w:val="center"/>
      </w:pPr>
      <w:r w:rsidRPr="00000000" w:rsidR="00000000" w:rsidDel="00000000">
        <w:rPr>
          <w:rtl w:val="0"/>
        </w:rPr>
      </w:r>
    </w:p>
    <w:p w:rsidP="00000000" w:rsidRPr="00000000" w:rsidR="00000000" w:rsidDel="00000000" w:rsidRDefault="00000000">
      <w:pPr>
        <w:spacing w:lineRule="auto" w:after="240" w:line="480"/>
        <w:contextualSpacing w:val="0"/>
        <w:jc w:val="center"/>
      </w:pPr>
      <w:r w:rsidRPr="00000000" w:rsidR="00000000" w:rsidDel="00000000">
        <w:rPr>
          <w:rtl w:val="0"/>
        </w:rPr>
      </w:r>
    </w:p>
    <w:p w:rsidP="00000000" w:rsidRPr="00000000" w:rsidR="00000000" w:rsidDel="00000000" w:rsidRDefault="00000000">
      <w:pPr>
        <w:spacing w:lineRule="auto" w:after="240" w:line="480"/>
        <w:contextualSpacing w:val="0"/>
        <w:jc w:val="center"/>
        <w:rPr/>
      </w:pPr>
      <w:r w:rsidRPr="00000000" w:rsidR="00000000" w:rsidDel="00000000">
        <w:rPr>
          <w:rtl w:val="0"/>
        </w:rPr>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Program Summary</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This proposal seeks to increase marketing techniques through targeted programming used by Hospice of Southern Illinois to increase the hospice services utilized by residents in nursing homes and assisted living facilities in Madison county Illinois. Additionally, we seek to  increase the education and understanding of hospice services among families, including children. The increased marketing of hospices’ services will increase the number of people choosing hospice at an earlier stage of terminal illness to enhance their length of stay on the program and quality of life. We will have a variety of activities targeted at all age groups for people to build their knowledge on the services hospice provides.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Target Population</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sz w:val="24"/>
          <w:rtl w:val="0"/>
        </w:rPr>
        <w:t xml:space="preserve">The program will target residents in Madison County Illinois nursing homes as well as assisted living facilities. Families of these residents, including children, will also be targeted. Doctors and nurses in Madison County hospitals will be included. According to the United States Census Bureau (2014), in 2013, there was an estimated 267,225 people living in Madison County. According to Advameg, Inc. (2010), in 2010, there were 286 people in nursing facilities and 453 people in nursing homes in 2000 in Edwardsville Illinois alone. There are two hospitals, Anderson Hospital, in Maryville Illinois and Saint Anthony’s Health Center in Alton Illinois.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Program Goals, Objectives, Activities and Evaluation</w:t>
      </w:r>
    </w:p>
    <w:p w:rsidP="00000000" w:rsidRPr="00000000" w:rsidR="00000000" w:rsidDel="00000000" w:rsidRDefault="00000000">
      <w:pPr>
        <w:spacing w:lineRule="auto" w:line="480"/>
        <w:contextualSpacing w:val="0"/>
        <w:rPr/>
      </w:pPr>
      <w:r w:rsidRPr="00000000" w:rsidR="00000000" w:rsidDel="00000000">
        <w:rPr>
          <w:rFonts w:cs="Times New Roman" w:hAnsi="Times New Roman" w:eastAsia="Times New Roman" w:ascii="Times New Roman"/>
          <w:b w:val="1"/>
          <w:sz w:val="24"/>
          <w:rtl w:val="0"/>
        </w:rPr>
        <w:t xml:space="preserve">Goal 1: </w:t>
      </w:r>
      <w:r w:rsidRPr="00000000" w:rsidR="00000000" w:rsidDel="00000000">
        <w:rPr>
          <w:rFonts w:cs="Times New Roman" w:hAnsi="Times New Roman" w:eastAsia="Times New Roman" w:ascii="Times New Roman"/>
          <w:sz w:val="24"/>
          <w:rtl w:val="0"/>
        </w:rPr>
        <w:t xml:space="preserve">To increase the knowledge of hospice services among employees of hospitals/nursing homes/assisted living facilities, and the patients, and families of these facilities in Madison County.</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Objectives: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1.1.</w:t>
      </w:r>
      <w:r w:rsidRPr="00000000" w:rsidR="00000000" w:rsidDel="00000000">
        <w:rPr>
          <w:rFonts w:cs="Times New Roman" w:hAnsi="Times New Roman" w:eastAsia="Times New Roman" w:ascii="Times New Roman"/>
          <w:sz w:val="24"/>
          <w:rtl w:val="0"/>
        </w:rPr>
        <w:t xml:space="preserve"> By December 2015, 50% of the nursing home residents and their families who reside in Madison County who attend Bingo will be able to correctly identify at least two services hospice provides.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Activity: </w:t>
      </w:r>
      <w:r w:rsidRPr="00000000" w:rsidR="00000000" w:rsidDel="00000000">
        <w:rPr>
          <w:rFonts w:cs="Times New Roman" w:hAnsi="Times New Roman" w:eastAsia="Times New Roman" w:ascii="Times New Roman"/>
          <w:sz w:val="24"/>
          <w:rtl w:val="0"/>
        </w:rPr>
        <w:t xml:space="preserve">At each facility, once a year, we will hold an event that allows residents to invite their families to a trivia type bingo game covering hospice services. The event will last anywhere from one to two hours. Trivia bingo will be the first event and will be played as an icebreaker activity to get all of the residents and their families comfortable with the hospice staff. Once this is completed, the bingo boards will be collected. The presentation will then include brochures, displaying the services that the hospice provides on a big poster, as well as the benefits to choosing hospice. At the conclusion of the presentation, another bingo game will be held. Instead of regular bingo where someone calls out numbers, the representative from Hospice of Southern Illinois will call out services they provide and the residents will have to decide if they really do provide that service or not and then mark it on their bingo boards. The game will go until three residents or family members win. Winners win a gift basket put together by Hospice of Southern Illinois. Gift baskets will include various promotional products such as: pill boxes, notepads, crossword/seek and find/game puzzle books, hospice pens, hand-held electronic games such as yahtzee or card games, a journal, a stuffed animal wearing a shirt sporting the Hospice of Southern Illinois logo, and one basket will include nail polish and polish remover. These items can keep residents occupied in a time of boredom or loneliness as well as promoting Hospice of Southern Illinois.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Evaluation: </w:t>
      </w:r>
      <w:r w:rsidRPr="00000000" w:rsidR="00000000" w:rsidDel="00000000">
        <w:rPr>
          <w:rFonts w:cs="Times New Roman" w:hAnsi="Times New Roman" w:eastAsia="Times New Roman" w:ascii="Times New Roman"/>
          <w:sz w:val="24"/>
          <w:rtl w:val="0"/>
        </w:rPr>
        <w:t xml:space="preserve">Trivia bingo will be held at the beginning as an icebreaker activity and conclusion of the presentation. All bingo boards will be collected after both rounds to see if 50% of the residents and their families could identify at least two services hospice provides. The interns will be responsible for tallying the results from the trivia bingo played at the conclusion of the presentation to see if half of the participants could identify at least two hospice services.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1.2. </w:t>
      </w:r>
      <w:r w:rsidRPr="00000000" w:rsidR="00000000" w:rsidDel="00000000">
        <w:rPr>
          <w:rFonts w:cs="Times New Roman" w:hAnsi="Times New Roman" w:eastAsia="Times New Roman" w:ascii="Times New Roman"/>
          <w:sz w:val="24"/>
          <w:rtl w:val="0"/>
        </w:rPr>
        <w:t xml:space="preserve">By July 2016, 50% of the nursing, health education, Interdisciplinary Studies and psychology students from SIUE who attend a health fair at Anderson Hospital in Maryville Illinois will be able to correctly identify one sign or symptoms of declining health in a patient.</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Activity: </w:t>
      </w:r>
      <w:r w:rsidRPr="00000000" w:rsidR="00000000" w:rsidDel="00000000">
        <w:rPr>
          <w:rFonts w:cs="Times New Roman" w:hAnsi="Times New Roman" w:eastAsia="Times New Roman" w:ascii="Times New Roman"/>
          <w:sz w:val="24"/>
          <w:rtl w:val="0"/>
        </w:rPr>
        <w:t xml:space="preserve">A health fair will be held in a classroom at Anderson Hospital. The health fair will last approximately two hours and will be held twice a year, once in January and once in July. Anyone in the community is welcome to attend and would not have to stay the full two hours. To get people to come to these health fairs, flyers will be posted all throughout Anderson and Saint Anthony’s Health Center, doctors’ offices, nursing homes and assisted living facilities, local grocery stores, and throughout SIUE’s campus. An intern will even go to SIUE to talk to students who major in nursing, health education, and psychology to tell them about hospice services and tell them about the health fair so they can attend it. The intern will go into classes such as, “Care of Older Adults”, “Adult Aging”, “Death and Dying”, “Public Health”, and “Human Development throughout the lifespan”. The health fair will be organized and run by employees from Hospice of Southern Illinois. They will provide brochures and posters on services hospice provides, the signs and symptoms of when doctors need to refer patients to hospice and the different hospice locations in Madison County. Complementary pens, lanyards, cookies and coffee will also be available. Volunteers will be available for any questions people might have. Magnum the service dog will also make an appearance.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Evaluation: </w:t>
      </w:r>
      <w:r w:rsidRPr="00000000" w:rsidR="00000000" w:rsidDel="00000000">
        <w:rPr>
          <w:rFonts w:cs="Times New Roman" w:hAnsi="Times New Roman" w:eastAsia="Times New Roman" w:ascii="Times New Roman"/>
          <w:b w:val="1"/>
          <w:color w:val="ff0000"/>
          <w:sz w:val="24"/>
          <w:rtl w:val="0"/>
        </w:rPr>
        <w:t xml:space="preserve"> </w:t>
      </w:r>
      <w:r w:rsidRPr="00000000" w:rsidR="00000000" w:rsidDel="00000000">
        <w:rPr>
          <w:rFonts w:cs="Times New Roman" w:hAnsi="Times New Roman" w:eastAsia="Times New Roman" w:ascii="Times New Roman"/>
          <w:sz w:val="24"/>
          <w:rtl w:val="0"/>
        </w:rPr>
        <w:t xml:space="preserve">A sign-up sheet will be placed on a table at every health fair right where everyone walks in. This sign-up sheet will ask for the persons name, occupation, and location of where they work. This will allow for the volunteers to tally the number of nursing, health education, interdisciplinary students, and psychology students who attend. We will also have a sign-out sheet with that same information, but also have a spot for them to list one sign or symptom for when a patient would need to be admitted to hospice care. The volunteers will tally the results after each health fair and compile them all together after the last health fair in July of 2016 to see if 50% of the students who attend can correctly identify the signs and symptoms of declining health.</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1.3. </w:t>
      </w:r>
      <w:r w:rsidRPr="00000000" w:rsidR="00000000" w:rsidDel="00000000">
        <w:rPr>
          <w:rFonts w:cs="Times New Roman" w:hAnsi="Times New Roman" w:eastAsia="Times New Roman" w:ascii="Times New Roman"/>
          <w:sz w:val="24"/>
          <w:rtl w:val="0"/>
        </w:rPr>
        <w:t xml:space="preserve">By December 2015, 50% of elementary school kids grades 3-5 who attend elementary school anywhere in Madison County will be able to correctly define what hospice is and at least one of their services.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Activity: </w:t>
      </w:r>
      <w:r w:rsidRPr="00000000" w:rsidR="00000000" w:rsidDel="00000000">
        <w:rPr>
          <w:rFonts w:cs="Times New Roman" w:hAnsi="Times New Roman" w:eastAsia="Times New Roman" w:ascii="Times New Roman"/>
          <w:sz w:val="24"/>
          <w:rtl w:val="0"/>
        </w:rPr>
        <w:t xml:space="preserve">Three employees (one marketer and two volunteers) from Hospice of Southern Illinois will bring Magnum the Service Dog into fifteen randomly selected elementary schools in Madison County and hold a presentation with him. The presentation will take place in each school's gymnasium. The marketer will allow the kids to interact with the dog by walking him down the aisles and having volunteers come up to do tricks with the dog. They will also describe Magnum’s role in hospice care as well as what hospice is in general. The marketer will also encourage the children to go home and tell their parents to “like” Magnums Facebook page. A handout will be given to the children to describe what they talked about and Magnums Facebook page. The marketer and hospice volunteers will visit one school a month. From beginning to end at each elementary school, it should take approximately two hours to complete.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Evaluation:</w:t>
      </w:r>
      <w:r w:rsidRPr="00000000" w:rsidR="00000000" w:rsidDel="00000000">
        <w:rPr>
          <w:rFonts w:cs="Times New Roman" w:hAnsi="Times New Roman" w:eastAsia="Times New Roman" w:ascii="Times New Roman"/>
          <w:sz w:val="24"/>
          <w:rtl w:val="0"/>
        </w:rPr>
        <w:t xml:space="preserve"> At the conclusion of the presentation, the volunteers from hospice will hand out a short quiz to the children. This quiz will have three questions on it. The first question will be “What is hospice?” and the kids will have three answers to choose from. The second questions will be “What animal does Hospice of Southern Illinois have?” and that question will be open-ended. The third question will be “Name one thing you learned today” and this question will be open-ended as well. Once all of the children are done completing their quizzes, the volunteers from hospice will collect them. The interns will tally the participant’s answers to determine if 50% of the children could define what hospice is and at least one of their services they provide.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Goal II: </w:t>
      </w:r>
      <w:r w:rsidRPr="00000000" w:rsidR="00000000" w:rsidDel="00000000">
        <w:rPr>
          <w:rFonts w:cs="Times New Roman" w:hAnsi="Times New Roman" w:eastAsia="Times New Roman" w:ascii="Times New Roman"/>
          <w:sz w:val="24"/>
          <w:rtl w:val="0"/>
        </w:rPr>
        <w:t xml:space="preserve">To increase the marketing strategies of Hospice of Southern Illinois.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        </w:t>
        <w:tab/>
        <w:t xml:space="preserve">Objectives: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2.1. </w:t>
      </w:r>
      <w:r w:rsidRPr="00000000" w:rsidR="00000000" w:rsidDel="00000000">
        <w:rPr>
          <w:rFonts w:cs="Times New Roman" w:hAnsi="Times New Roman" w:eastAsia="Times New Roman" w:ascii="Times New Roman"/>
          <w:sz w:val="24"/>
          <w:rtl w:val="0"/>
        </w:rPr>
        <w:t xml:space="preserve">Between December 2014 and May 2015, at least 50% of Hospice of Southern Illinois visitors will visit the newly revised Hospice of Southern Illinois website.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Activity: </w:t>
      </w:r>
      <w:r w:rsidRPr="00000000" w:rsidR="00000000" w:rsidDel="00000000">
        <w:rPr>
          <w:rFonts w:cs="Times New Roman" w:hAnsi="Times New Roman" w:eastAsia="Times New Roman" w:ascii="Times New Roman"/>
          <w:sz w:val="24"/>
          <w:rtl w:val="0"/>
        </w:rPr>
        <w:t xml:space="preserve">The marketer will update and revise the hospice website. The new revisions will include a different color theme, new pictures, updated information about the services provided, and additional information on when a loved one is eligible for hospice care. The marketer will have a table setup at various sites in the community, for example the hospice site and the SIUE student center, with at least one computer for people to access the website.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Evaluation: </w:t>
      </w:r>
      <w:r w:rsidRPr="00000000" w:rsidR="00000000" w:rsidDel="00000000">
        <w:rPr>
          <w:rFonts w:cs="Times New Roman" w:hAnsi="Times New Roman" w:eastAsia="Times New Roman" w:ascii="Times New Roman"/>
          <w:sz w:val="24"/>
          <w:rtl w:val="0"/>
        </w:rPr>
        <w:t xml:space="preserve">The hospice marketer will have visitors access the website, and then, have them complete a survey to see what they think about the revisions to the website compared to the original layout. Each participant will receive a lanyard and a pen with hospice logo on them after they have completed their survey. More positive results from the survey will determine if the website is better up-to-date and more attractive. If 50% of the Hospice of Southern Illinois visitors visit the newly revised website and agree that it is updated for the better, we will have met this objective.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2.2. </w:t>
      </w:r>
      <w:r w:rsidRPr="00000000" w:rsidR="00000000" w:rsidDel="00000000">
        <w:rPr>
          <w:rFonts w:cs="Times New Roman" w:hAnsi="Times New Roman" w:eastAsia="Times New Roman" w:ascii="Times New Roman"/>
          <w:sz w:val="24"/>
          <w:rtl w:val="0"/>
        </w:rPr>
        <w:t xml:space="preserve">Hospice will have a 25% increase in the number of followers and audience activity on the Facebook page between December 2014 and May 2015.</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Activity:</w:t>
      </w:r>
      <w:r w:rsidRPr="00000000" w:rsidR="00000000" w:rsidDel="00000000">
        <w:rPr>
          <w:rFonts w:cs="Times New Roman" w:hAnsi="Times New Roman" w:eastAsia="Times New Roman" w:ascii="Times New Roman"/>
          <w:sz w:val="24"/>
          <w:rtl w:val="0"/>
        </w:rPr>
        <w:t xml:space="preserve"> The Hospice marketing facilitator will help increase the number of followers on the Facebook page by hosting monthly contests among those who follow the hospice Facebook page. Those who followed the page will be encouraged to "share" the contest posts with others on Facebook about the contests. In that, those who have not followed the page yet will have the opportunity to follow and even participate in the contests. Hospice staff will be encouraged to get involved in the contests and "share" the posts, as well. The incentives would be the following: Amazon.com credit, credit to an online vitamin store, or other online credit. Before the contests begin, the marketer will take note of how many followers are on the Facebook page. Once the marketer does this, she will post information about the contests and watch the number of Facebook followers increase.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Evaluation: </w:t>
      </w:r>
      <w:r w:rsidRPr="00000000" w:rsidR="00000000" w:rsidDel="00000000">
        <w:rPr>
          <w:rFonts w:cs="Times New Roman" w:hAnsi="Times New Roman" w:eastAsia="Times New Roman" w:ascii="Times New Roman"/>
          <w:sz w:val="24"/>
          <w:rtl w:val="0"/>
        </w:rPr>
        <w:t xml:space="preserve">The marketer will examine how many followers the hospice Facebook page has acquired through the system that Facebook has setup. The marketer will, then, examine the number of followers after the contests are closed. If there is a 25% increase in Facebook followers from before the contests began, this objective will be met.</w:t>
      </w:r>
    </w:p>
    <w:p w:rsidP="00000000" w:rsidRPr="00000000" w:rsidR="00000000" w:rsidDel="00000000" w:rsidRDefault="00000000">
      <w:pPr>
        <w:spacing w:lineRule="auto" w:after="240"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after="240"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after="240"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Goal III: </w:t>
      </w:r>
      <w:r w:rsidRPr="00000000" w:rsidR="00000000" w:rsidDel="00000000">
        <w:rPr>
          <w:rFonts w:cs="Times New Roman" w:hAnsi="Times New Roman" w:eastAsia="Times New Roman" w:ascii="Times New Roman"/>
          <w:sz w:val="24"/>
          <w:rtl w:val="0"/>
        </w:rPr>
        <w:t xml:space="preserve">To increase the awareness of hospice care in young adults (ages 18-30).</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            Objective: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3.1. </w:t>
      </w:r>
      <w:r w:rsidRPr="00000000" w:rsidR="00000000" w:rsidDel="00000000">
        <w:rPr>
          <w:rFonts w:cs="Times New Roman" w:hAnsi="Times New Roman" w:eastAsia="Times New Roman" w:ascii="Times New Roman"/>
          <w:sz w:val="24"/>
          <w:rtl w:val="0"/>
        </w:rPr>
        <w:t xml:space="preserve">By December 2014, 100 nursing and health education students from Southern Illinois University Edwardsville will be able to correctly define what hospice is.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Activity: </w:t>
      </w:r>
      <w:r w:rsidRPr="00000000" w:rsidR="00000000" w:rsidDel="00000000">
        <w:rPr>
          <w:rFonts w:cs="Times New Roman" w:hAnsi="Times New Roman" w:eastAsia="Times New Roman" w:ascii="Times New Roman"/>
          <w:sz w:val="24"/>
          <w:rtl w:val="0"/>
        </w:rPr>
        <w:t xml:space="preserve">One intern and two volunteers will contact 5 nursing and health education professors at SIUE by September 1st, 2014 to ask permission to come into their classrooms to discuss hospice care at Hospice of Southern Illinois by November 2014. If/when they gain approval each person will go into a classroom with:</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tab/>
        <w:t xml:space="preserve">*   Hospice of Southern Illinois brochures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tab/>
        <w:t xml:space="preserve">*   PowerPoint discussing Hospice of Southern Illinois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tab/>
        <w:t xml:space="preserve">*   Poll everywhere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   Pens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This short presentation will only take 10 minutes maximum of class time at the start of the class. The volunteer/intern will introduce themselves, pass out the brochures and pens, and then begin the brief presentation on Hospice of Southern Illinois. Once the presentation is completed, the volunteer/intern will ask if there are any questions and will answer them to the best of their ability. Once all questions are answered, the intern will introduce the poll everywhere. After that, the intern will use the poll-everywhere for the students to answer one question. The question will simply be, “What is hospice?” and the students will have 3 answers to choose from. After that, they will thank the classrooms for their time. The volunteer/intern will then leave.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Evaluation:</w:t>
      </w:r>
      <w:r w:rsidRPr="00000000" w:rsidR="00000000" w:rsidDel="00000000">
        <w:rPr>
          <w:rFonts w:cs="Times New Roman" w:hAnsi="Times New Roman" w:eastAsia="Times New Roman" w:ascii="Times New Roman"/>
          <w:sz w:val="24"/>
          <w:rtl w:val="0"/>
        </w:rPr>
        <w:t xml:space="preserve"> If at least 100 nursing and health education students can define what hospice is through the poll everywhere, we will have met this objective. The poll everywhere will keep track of how many students answered the question correctly. The intern will be in charge of the poll everywhere.</w:t>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left"/>
      </w:pPr>
      <w:r w:rsidRPr="00000000" w:rsidR="00000000" w:rsidDel="00000000">
        <w:rPr>
          <w:rtl w:val="0"/>
        </w:rPr>
      </w:r>
    </w:p>
    <w:p w:rsidP="00000000" w:rsidRPr="00000000" w:rsidR="00000000" w:rsidDel="00000000" w:rsidRDefault="00000000">
      <w:pPr>
        <w:spacing w:lineRule="auto" w:after="240"/>
        <w:contextualSpacing w:val="0"/>
        <w:jc w:val="left"/>
      </w:pPr>
      <w:r w:rsidRPr="00000000" w:rsidR="00000000" w:rsidDel="00000000">
        <w:rPr>
          <w:rtl w:val="0"/>
        </w:rPr>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Hospice of Southern Illinois</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Funding Request</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December 2014-July 2016</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bl>
      <w:tblPr>
        <w:tblStyle w:val="KixTable1"/>
        <w:bidiVisual w:val="0"/>
        <w:tblW w:w="89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585"/>
        <w:gridCol w:w="1850"/>
        <w:gridCol w:w="2825"/>
        <w:gridCol w:w="1700"/>
        <w:tblGridChange w:id="0">
          <w:tblGrid>
            <w:gridCol w:w="2585"/>
            <w:gridCol w:w="1850"/>
            <w:gridCol w:w="2825"/>
            <w:gridCol w:w="1700"/>
          </w:tblGrid>
        </w:tblGridChange>
      </w:tblGrid>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Personnel</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One-Time Grant Request</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Other Funding &amp; In-Kind Contributions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Total Project Expenses</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Marketer</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Volunteers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$6435</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$6435</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Intern</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$12870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$12870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Subtotal Personnel</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$50000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$19305</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$69305</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Benefits @25%</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$12500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$4826</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$17326</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Total Personnel</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$62500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$24131</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$86631</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Operating Expenses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Printing:</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Brochures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$250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$250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Flyers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$250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$250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Over-sized poster boards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Bingo boards and chips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Gift baskets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Pens (.25/pen)</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$250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$250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Lanyards (1.00/lanyard)</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Cookies and coffee</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$1500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$1500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Amazon.com credit and gas gift cards</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Furniture</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$2000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Renting classroom in Anderson Hospital</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$500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Equipment and maintenance</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Telephone</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$100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Local transportation</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$2000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Total Operating Expense</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$14500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$14500</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 </w:t>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tl w:val="0"/>
              </w:rPr>
            </w:r>
          </w:p>
        </w:tc>
      </w:tr>
      <w:tr>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Total Budget Request</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$77000</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$24131</w:t>
            </w:r>
          </w:p>
        </w:tc>
        <w:tc>
          <w:tcPr>
            <w:tcMar>
              <w:left w:w="40.0" w:type="dxa"/>
              <w:right w:w="40.0" w:type="dxa"/>
            </w:tcMar>
            <w:vAlign w:val="bottom"/>
          </w:tcPr>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$101131</w:t>
            </w:r>
          </w:p>
        </w:tc>
      </w:tr>
    </w:tbl>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tl w:val="0"/>
        </w:rPr>
      </w:r>
    </w:p>
    <w:p w:rsidP="00000000" w:rsidRPr="00000000" w:rsidR="00000000" w:rsidDel="00000000" w:rsidRDefault="00000000">
      <w:pPr>
        <w:spacing w:lineRule="auto" w:after="24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Budget Narrative</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Personnel</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Marketer: </w:t>
      </w:r>
      <w:r w:rsidRPr="00000000" w:rsidR="00000000" w:rsidDel="00000000">
        <w:rPr>
          <w:rFonts w:cs="Times New Roman" w:hAnsi="Times New Roman" w:eastAsia="Times New Roman" w:ascii="Times New Roman"/>
          <w:sz w:val="24"/>
          <w:rtl w:val="0"/>
        </w:rPr>
        <w:t xml:space="preserve">Hospice of Southern Illinois marketer will be responsible for going out in the community to spread the word about Hospice of Southern Illinois. She will attend all of the health fairs, go to the elementary schools in Madison County and revise the hospice facebook page. She will be the main representative for Hospice of Southern Illinois working 40 hours/week, which is 2,080 hours/year (FTE=1.0), for a total of $50,000.</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Volunteers: </w:t>
      </w:r>
      <w:r w:rsidRPr="00000000" w:rsidR="00000000" w:rsidDel="00000000">
        <w:rPr>
          <w:rFonts w:cs="Times New Roman" w:hAnsi="Times New Roman" w:eastAsia="Times New Roman" w:ascii="Times New Roman"/>
          <w:sz w:val="24"/>
          <w:rtl w:val="0"/>
        </w:rPr>
        <w:t xml:space="preserve">Three to five Hospice of Southern Illinois volunteers will be responsible for helping the marketer at events and setting up for events. The volunteers will also put up the flyers for display at the health fairs and assemble the gift baskets, for a total of $500 per year. Volunteers will be unpaid and work 10 hours per week. (In-kind: $8.25/hour X 10 hours/week= $82.50 per week. There are 52 full weeks in one year, our program will be 1.5  years, for a total of 78 weeks. All totaling $6,435).</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Intern: </w:t>
      </w:r>
      <w:r w:rsidRPr="00000000" w:rsidR="00000000" w:rsidDel="00000000">
        <w:rPr>
          <w:rFonts w:cs="Times New Roman" w:hAnsi="Times New Roman" w:eastAsia="Times New Roman" w:ascii="Times New Roman"/>
          <w:sz w:val="24"/>
          <w:rtl w:val="0"/>
        </w:rPr>
        <w:t xml:space="preserve">Two</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Hospice of Southern Illinois interns will be responsible for helping at events and helping to create the brochures, flyers, posters and update the website, for a total of $500 a year. Interns will be unpaid and work 20 hours per week. (In-kind: $8.25 X 20/week= $165 per week. There are 52 full weeks in one year, our program will be 1.5 years, for a total of 78 weeks. All totaling $12,870).</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The Subtotal Personnel is $69,305</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Employee benefits have been calculated at 25%, which includes health, vision, and dental benefits as well as worker’s compensation and state withholding. The total benefits for this project is $17,326.</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Total Personnel Costs are $86,631.</w:t>
      </w:r>
    </w:p>
    <w:p w:rsidP="00000000" w:rsidRPr="00000000" w:rsidR="00000000" w:rsidDel="00000000" w:rsidRDefault="00000000">
      <w:pPr>
        <w:spacing w:lineRule="auto" w:after="24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b w:val="1"/>
          <w:sz w:val="24"/>
          <w:rtl w:val="0"/>
        </w:rPr>
        <w:t xml:space="preserve">Operating Expenses</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Printing:</w:t>
      </w:r>
    </w:p>
    <w:p w:rsidP="00000000" w:rsidRPr="00000000" w:rsidR="00000000" w:rsidDel="00000000" w:rsidRDefault="00000000">
      <w:pPr>
        <w:numPr>
          <w:ilvl w:val="1"/>
          <w:numId w:val="1"/>
        </w:numPr>
        <w:spacing w:lineRule="auto" w:line="480"/>
        <w:ind w:left="1440" w:hanging="359"/>
        <w:contextualSpacing w:val="1"/>
        <w:jc w:val="center"/>
        <w:rPr/>
      </w:pPr>
      <w:r w:rsidRPr="00000000" w:rsidR="00000000" w:rsidDel="00000000">
        <w:rPr>
          <w:rFonts w:cs="Times New Roman" w:hAnsi="Times New Roman" w:eastAsia="Times New Roman" w:ascii="Times New Roman"/>
          <w:b w:val="1"/>
          <w:sz w:val="24"/>
          <w:rtl w:val="0"/>
        </w:rPr>
        <w:t xml:space="preserve">Brochures </w:t>
      </w:r>
      <w:r w:rsidRPr="00000000" w:rsidR="00000000" w:rsidDel="00000000">
        <w:rPr>
          <w:rFonts w:cs="Times New Roman" w:hAnsi="Times New Roman" w:eastAsia="Times New Roman" w:ascii="Times New Roman"/>
          <w:sz w:val="24"/>
          <w:rtl w:val="0"/>
        </w:rPr>
        <w:t xml:space="preserve">will be professionally made at a printing company. Each brochure will be .50 cents to make/print. We will have 500 brochures made. The brochures in total will cost $250. The brochures will be accessible for the hospice members and visitors. Brochures will be brought to the health fairs, the nursing homes and the schools.</w:t>
      </w:r>
    </w:p>
    <w:p w:rsidP="00000000" w:rsidRPr="00000000" w:rsidR="00000000" w:rsidDel="00000000" w:rsidRDefault="00000000">
      <w:pPr>
        <w:numPr>
          <w:ilvl w:val="1"/>
          <w:numId w:val="1"/>
        </w:numPr>
        <w:spacing w:lineRule="auto" w:line="480"/>
        <w:ind w:left="1440" w:hanging="359"/>
        <w:contextualSpacing w:val="1"/>
        <w:jc w:val="center"/>
        <w:rPr/>
      </w:pPr>
      <w:r w:rsidRPr="00000000" w:rsidR="00000000" w:rsidDel="00000000">
        <w:rPr>
          <w:rFonts w:cs="Times New Roman" w:hAnsi="Times New Roman" w:eastAsia="Times New Roman" w:ascii="Times New Roman"/>
          <w:b w:val="1"/>
          <w:sz w:val="24"/>
          <w:rtl w:val="0"/>
        </w:rPr>
        <w:t xml:space="preserve">Flyers </w:t>
      </w:r>
      <w:r w:rsidRPr="00000000" w:rsidR="00000000" w:rsidDel="00000000">
        <w:rPr>
          <w:rFonts w:cs="Times New Roman" w:hAnsi="Times New Roman" w:eastAsia="Times New Roman" w:ascii="Times New Roman"/>
          <w:sz w:val="24"/>
          <w:rtl w:val="0"/>
        </w:rPr>
        <w:t xml:space="preserve">will be printed once and the rest will be copied. Flyers will cost a total of $250. The flyers will be used for display of the service of Hospice of Southern Illinois in the community.</w:t>
      </w:r>
    </w:p>
    <w:p w:rsidP="00000000" w:rsidRPr="00000000" w:rsidR="00000000" w:rsidDel="00000000" w:rsidRDefault="00000000">
      <w:pPr>
        <w:numPr>
          <w:ilvl w:val="1"/>
          <w:numId w:val="1"/>
        </w:numPr>
        <w:spacing w:lineRule="auto" w:line="480"/>
        <w:ind w:left="1440" w:hanging="359"/>
        <w:contextualSpacing w:val="1"/>
        <w:jc w:val="center"/>
        <w:rPr/>
      </w:pPr>
      <w:r w:rsidRPr="00000000" w:rsidR="00000000" w:rsidDel="00000000">
        <w:rPr>
          <w:rFonts w:cs="Times New Roman" w:hAnsi="Times New Roman" w:eastAsia="Times New Roman" w:ascii="Times New Roman"/>
          <w:b w:val="1"/>
          <w:sz w:val="24"/>
          <w:rtl w:val="0"/>
        </w:rPr>
        <w:t xml:space="preserve">Over-sized poster boards </w:t>
      </w:r>
      <w:r w:rsidRPr="00000000" w:rsidR="00000000" w:rsidDel="00000000">
        <w:rPr>
          <w:rFonts w:cs="Times New Roman" w:hAnsi="Times New Roman" w:eastAsia="Times New Roman" w:ascii="Times New Roman"/>
          <w:sz w:val="24"/>
          <w:rtl w:val="0"/>
        </w:rPr>
        <w:t xml:space="preserve">for presentations have been calculated at $50. We will buy the poster boards and decorate them ourselves. These post boards will be on display when we go out into the community. Some posters will have the services hospice provides, some will have the signs/symptoms of when to enter hospice care, and some will have hospice locations on them.  </w:t>
      </w:r>
    </w:p>
    <w:p w:rsidP="00000000" w:rsidRPr="00000000" w:rsidR="00000000" w:rsidDel="00000000" w:rsidRDefault="00000000">
      <w:pPr>
        <w:numPr>
          <w:ilvl w:val="1"/>
          <w:numId w:val="1"/>
        </w:numPr>
        <w:spacing w:lineRule="auto" w:line="480"/>
        <w:ind w:left="1440" w:hanging="359"/>
        <w:contextualSpacing w:val="1"/>
        <w:jc w:val="center"/>
        <w:rPr/>
      </w:pPr>
      <w:r w:rsidRPr="00000000" w:rsidR="00000000" w:rsidDel="00000000">
        <w:rPr>
          <w:rFonts w:cs="Times New Roman" w:hAnsi="Times New Roman" w:eastAsia="Times New Roman" w:ascii="Times New Roman"/>
          <w:b w:val="1"/>
          <w:sz w:val="24"/>
          <w:rtl w:val="0"/>
        </w:rPr>
        <w:t xml:space="preserve">Bingo boards and chips </w:t>
      </w:r>
      <w:r w:rsidRPr="00000000" w:rsidR="00000000" w:rsidDel="00000000">
        <w:rPr>
          <w:rFonts w:cs="Times New Roman" w:hAnsi="Times New Roman" w:eastAsia="Times New Roman" w:ascii="Times New Roman"/>
          <w:sz w:val="24"/>
          <w:rtl w:val="0"/>
        </w:rPr>
        <w:t xml:space="preserve">have been calculated at $100. We will print blank bingo boards (costing 10 cents per page equaling 1,000 bingo boards) and we will purchase the bingo chips for $50 at a local dollar store (plastic bingo chips will be sold in packs of 50 chips for $1 each. We will purchase 50 of these packs). The blank bingo boards and bingo chips will be used at the nursing homes before and after the presentation.</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Gift baskets </w:t>
      </w:r>
      <w:r w:rsidRPr="00000000" w:rsidR="00000000" w:rsidDel="00000000">
        <w:rPr>
          <w:rFonts w:cs="Times New Roman" w:hAnsi="Times New Roman" w:eastAsia="Times New Roman" w:ascii="Times New Roman"/>
          <w:sz w:val="24"/>
          <w:rtl w:val="0"/>
        </w:rPr>
        <w:t xml:space="preserve">will include pill boxes, notepads, crossword/seek and find puzzle books, hospice pens, hand-held electronic games, journals, stuffed animals with logo t-shirt, bottle of nail polish, one bottle of nail polish remover, and baskets, all totaling $500. Three gift baskets will be needed for each nursing home trivia bingo. Volunteers will assemble these baskets. Each gift basket will be valued around $20, so we will have 25 gift baskets total. (The pens costs .25 each, the pill boxes will be $1 each, notepads will be .75 each, crossword/seek and find puzzle books will cost $1 each, hand-held electronic games will cost $5 each, journals will cost .50 each, stuffed animals will cost $5 each, the baskets will cost $5 each, nail polish will cost $1 each, and a small bottle of nail polish remover will cost .50 each)</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Pens </w:t>
      </w:r>
      <w:r w:rsidRPr="00000000" w:rsidR="00000000" w:rsidDel="00000000">
        <w:rPr>
          <w:rFonts w:cs="Times New Roman" w:hAnsi="Times New Roman" w:eastAsia="Times New Roman" w:ascii="Times New Roman"/>
          <w:sz w:val="24"/>
          <w:rtl w:val="0"/>
        </w:rPr>
        <w:t xml:space="preserve">with hospices’ logo on them will cost 25 cents each, and we are requesting 1,000 pens. This will total $250. The pens will be used as an incentive for the assessments of the hospice website among the hospice visitors.</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Lanyards </w:t>
      </w:r>
      <w:r w:rsidRPr="00000000" w:rsidR="00000000" w:rsidDel="00000000">
        <w:rPr>
          <w:rFonts w:cs="Times New Roman" w:hAnsi="Times New Roman" w:eastAsia="Times New Roman" w:ascii="Times New Roman"/>
          <w:sz w:val="24"/>
          <w:rtl w:val="0"/>
        </w:rPr>
        <w:t xml:space="preserve">with hospices’ logo on them will cost $1.00 each, and we are requesting 1,000 lanyards. This will total $1000. The lanyards will be used as an incentive for the assessments of the hospice website among the hospice visitors.</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Cookies and Coffee </w:t>
      </w:r>
      <w:r w:rsidRPr="00000000" w:rsidR="00000000" w:rsidDel="00000000">
        <w:rPr>
          <w:rFonts w:cs="Times New Roman" w:hAnsi="Times New Roman" w:eastAsia="Times New Roman" w:ascii="Times New Roman"/>
          <w:sz w:val="24"/>
          <w:rtl w:val="0"/>
        </w:rPr>
        <w:t xml:space="preserve">Cookies will be individual Otis Spunkmeyer cookies, which will cost $1000 total. The Folgers coffee will cost $500. Cookies and coffee will be provided at all of the health fairs for people to take as they please.</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Amazon credit gift cards and gas cards </w:t>
      </w:r>
      <w:r w:rsidRPr="00000000" w:rsidR="00000000" w:rsidDel="00000000">
        <w:rPr>
          <w:rFonts w:cs="Times New Roman" w:hAnsi="Times New Roman" w:eastAsia="Times New Roman" w:ascii="Times New Roman"/>
          <w:sz w:val="24"/>
          <w:rtl w:val="0"/>
        </w:rPr>
        <w:t xml:space="preserve">will be calculated at $2500 for the Amazon.com credits and $2500 for the gas gift cards. Each card will be valued at $25. We will give away one hundred $25 Amazon.com credit gift cards and one hundred $25 gas gift cards.</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Furniture </w:t>
      </w:r>
      <w:r w:rsidRPr="00000000" w:rsidR="00000000" w:rsidDel="00000000">
        <w:rPr>
          <w:rFonts w:cs="Times New Roman" w:hAnsi="Times New Roman" w:eastAsia="Times New Roman" w:ascii="Times New Roman"/>
          <w:sz w:val="24"/>
          <w:rtl w:val="0"/>
        </w:rPr>
        <w:t xml:space="preserve">including tables and chairs will cost a total of $2000. The tables will cost $150 each and we will have ten of them, totaling $1500. The remaining $500 will be spent on 50 chairs, $10 each. The tables and chairs will be used at the nursing homes and at the health fairs for the posters and the brochures to sit on for display. The chairs will also be used at these events for people to sit down and converse with each other about hospice.</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Renting Classroom in Anderson Hospital </w:t>
      </w:r>
      <w:r w:rsidRPr="00000000" w:rsidR="00000000" w:rsidDel="00000000">
        <w:rPr>
          <w:rFonts w:cs="Times New Roman" w:hAnsi="Times New Roman" w:eastAsia="Times New Roman" w:ascii="Times New Roman"/>
          <w:sz w:val="24"/>
          <w:rtl w:val="0"/>
        </w:rPr>
        <w:t xml:space="preserve">for the health fairs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cost $500. The venue will be used to hold health fairs where there will be various services on display for the community to take advantage.</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Equipment and maintenance </w:t>
      </w:r>
      <w:r w:rsidRPr="00000000" w:rsidR="00000000" w:rsidDel="00000000">
        <w:rPr>
          <w:rFonts w:cs="Times New Roman" w:hAnsi="Times New Roman" w:eastAsia="Times New Roman" w:ascii="Times New Roman"/>
          <w:sz w:val="24"/>
          <w:rtl w:val="0"/>
        </w:rPr>
        <w:t xml:space="preserve">this includes copier chargers and laptops for a total $1000. The hospice marketer will bring the laptop with her every time she goes out in the community just in case she needs anything else printed off or someone has a question she needs to look up. The laptop will have power points, the brochures, the flyers, and the bingo board templates on it for display. Other equipment included in this fee are Styrofoam cups for the coffee, napkins, and coffee stirrers for the health fairs.</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Telephone</w:t>
      </w:r>
      <w:r w:rsidRPr="00000000" w:rsidR="00000000" w:rsidDel="00000000">
        <w:rPr>
          <w:rFonts w:cs="Times New Roman" w:hAnsi="Times New Roman" w:eastAsia="Times New Roman" w:ascii="Times New Roman"/>
          <w:sz w:val="24"/>
          <w:rtl w:val="0"/>
        </w:rPr>
        <w:t xml:space="preserve"> charges have been set at $100.</w:t>
      </w:r>
    </w:p>
    <w:p w:rsidP="00000000" w:rsidRPr="00000000" w:rsidR="00000000" w:rsidDel="00000000" w:rsidRDefault="00000000">
      <w:pPr>
        <w:numPr>
          <w:ilvl w:val="0"/>
          <w:numId w:val="1"/>
        </w:numPr>
        <w:spacing w:lineRule="auto" w:line="480"/>
        <w:ind w:left="720" w:hanging="359"/>
        <w:contextualSpacing w:val="1"/>
        <w:jc w:val="center"/>
        <w:rPr/>
      </w:pPr>
      <w:r w:rsidRPr="00000000" w:rsidR="00000000" w:rsidDel="00000000">
        <w:rPr>
          <w:rFonts w:cs="Times New Roman" w:hAnsi="Times New Roman" w:eastAsia="Times New Roman" w:ascii="Times New Roman"/>
          <w:b w:val="1"/>
          <w:sz w:val="24"/>
          <w:rtl w:val="0"/>
        </w:rPr>
        <w:t xml:space="preserve">Local transportation </w:t>
      </w:r>
      <w:r w:rsidRPr="00000000" w:rsidR="00000000" w:rsidDel="00000000">
        <w:rPr>
          <w:rFonts w:cs="Times New Roman" w:hAnsi="Times New Roman" w:eastAsia="Times New Roman" w:ascii="Times New Roman"/>
          <w:sz w:val="24"/>
          <w:rtl w:val="0"/>
        </w:rPr>
        <w:t xml:space="preserve">expenses include mileage to and from school sites, hospitals, and nursing homes for an estimated $2000. Gas will be an estimated $3.50/gallon.</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Total Operating Costs are $14,500.</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rtl w:val="0"/>
        </w:rPr>
        <w:t xml:space="preserve">The Total Budget for this project is $101,131</w:t>
      </w:r>
    </w:p>
    <w:p w:rsidP="00000000" w:rsidRPr="00000000" w:rsidR="00000000" w:rsidDel="00000000" w:rsidRDefault="00000000">
      <w:pPr>
        <w:contextualSpacing w:val="0"/>
        <w:jc w:val="center"/>
        <w:rPr/>
      </w:pPr>
      <w:r w:rsidRPr="00000000" w:rsidR="00000000" w:rsidDel="00000000">
        <w:rPr>
          <w:rtl w:val="0"/>
        </w:rPr>
      </w:r>
    </w:p>
    <w:p w:rsidP="00000000" w:rsidRPr="00000000" w:rsidR="00000000" w:rsidDel="00000000" w:rsidRDefault="00000000">
      <w:pPr>
        <w:contextualSpacing w:val="0"/>
        <w:jc w:val="center"/>
        <w:rPr/>
      </w:pPr>
      <w:r w:rsidRPr="00000000" w:rsidR="00000000" w:rsidDel="00000000">
        <w:rPr>
          <w:rFonts w:cs="Times New Roman" w:hAnsi="Times New Roman" w:eastAsia="Times New Roman" w:ascii="Times New Roman"/>
          <w:b w:val="1"/>
          <w:sz w:val="24"/>
          <w:highlight w:val="white"/>
          <w:rtl w:val="0"/>
        </w:rPr>
        <w:t xml:space="preserve">References</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Advameg, Inc. (2014). </w:t>
      </w:r>
      <w:r w:rsidRPr="00000000" w:rsidR="00000000" w:rsidDel="00000000">
        <w:rPr>
          <w:rFonts w:cs="Times New Roman" w:hAnsi="Times New Roman" w:eastAsia="Times New Roman" w:ascii="Times New Roman"/>
          <w:i w:val="1"/>
          <w:sz w:val="24"/>
          <w:rtl w:val="0"/>
        </w:rPr>
        <w:t xml:space="preserve">Home page. </w:t>
      </w:r>
      <w:r w:rsidRPr="00000000" w:rsidR="00000000" w:rsidDel="00000000">
        <w:rPr>
          <w:rFonts w:cs="Times New Roman" w:hAnsi="Times New Roman" w:eastAsia="Times New Roman" w:ascii="Times New Roman"/>
          <w:sz w:val="24"/>
          <w:rtl w:val="0"/>
        </w:rPr>
        <w:t xml:space="preserve">Retrieved from http://www.city-data.com/city/Edwardsville-Illinois.html</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Business Wire. (2011). Research and markets: three top Internet marketing strategies for hospice- hospice marketing training program. </w:t>
      </w:r>
      <w:r w:rsidRPr="00000000" w:rsidR="00000000" w:rsidDel="00000000">
        <w:rPr>
          <w:rFonts w:cs="Times New Roman" w:hAnsi="Times New Roman" w:eastAsia="Times New Roman" w:ascii="Times New Roman"/>
          <w:i w:val="1"/>
          <w:sz w:val="24"/>
          <w:rtl w:val="0"/>
        </w:rPr>
        <w:t xml:space="preserve">Business Wire (English)</w:t>
      </w:r>
      <w:r w:rsidRPr="00000000" w:rsidR="00000000" w:rsidDel="00000000">
        <w:rPr>
          <w:rFonts w:cs="Times New Roman" w:hAnsi="Times New Roman" w:eastAsia="Times New Roman" w:ascii="Times New Roman"/>
          <w:sz w:val="24"/>
          <w:highlight w:val="white"/>
          <w:rtl w:val="0"/>
        </w:rPr>
        <w:t xml:space="preserve">. Retrieved from</w:t>
      </w:r>
      <w:r w:rsidRPr="00000000" w:rsidR="00000000" w:rsidDel="00000000">
        <w:rPr>
          <w:rFonts w:cs="Times New Roman" w:hAnsi="Times New Roman" w:eastAsia="Times New Roman" w:ascii="Times New Roman"/>
          <w:color w:val="ff0000"/>
          <w:sz w:val="24"/>
          <w:highlight w:val="white"/>
          <w:rtl w:val="0"/>
        </w:rPr>
        <w:t xml:space="preserve"> </w:t>
      </w:r>
      <w:r w:rsidRPr="00000000" w:rsidR="00000000" w:rsidDel="00000000">
        <w:rPr>
          <w:rFonts w:cs="Times New Roman" w:hAnsi="Times New Roman" w:eastAsia="Times New Roman" w:ascii="Times New Roman"/>
          <w:sz w:val="24"/>
          <w:highlight w:val="white"/>
          <w:rtl w:val="0"/>
        </w:rPr>
        <w:t xml:space="preserve">http://www.researchandmarkets.com/research/cd8141/three_top_internet</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Hospice of Southern Illinois, Inc. (2014). </w:t>
      </w:r>
      <w:r w:rsidRPr="00000000" w:rsidR="00000000" w:rsidDel="00000000">
        <w:rPr>
          <w:rFonts w:cs="Times New Roman" w:hAnsi="Times New Roman" w:eastAsia="Times New Roman" w:ascii="Times New Roman"/>
          <w:i w:val="1"/>
          <w:sz w:val="24"/>
          <w:highlight w:val="white"/>
          <w:rtl w:val="0"/>
        </w:rPr>
        <w:t xml:space="preserve">Home page</w:t>
      </w:r>
      <w:r w:rsidRPr="00000000" w:rsidR="00000000" w:rsidDel="00000000">
        <w:rPr>
          <w:rFonts w:cs="Times New Roman" w:hAnsi="Times New Roman" w:eastAsia="Times New Roman" w:ascii="Times New Roman"/>
          <w:sz w:val="24"/>
          <w:highlight w:val="white"/>
          <w:rtl w:val="0"/>
        </w:rPr>
        <w:t xml:space="preserve">. Retrieved from</w:t>
      </w:r>
      <w:hyperlink r:id="rId5">
        <w:r w:rsidRPr="00000000" w:rsidR="00000000" w:rsidDel="00000000">
          <w:rPr>
            <w:rFonts w:cs="Times New Roman" w:hAnsi="Times New Roman" w:eastAsia="Times New Roman" w:ascii="Times New Roman"/>
            <w:sz w:val="24"/>
            <w:highlight w:val="white"/>
            <w:rtl w:val="0"/>
          </w:rPr>
          <w:t xml:space="preserve"> </w:t>
        </w:r>
      </w:hyperlink>
      <w:hyperlink r:id="rId6">
        <w:r w:rsidRPr="00000000" w:rsidR="00000000" w:rsidDel="00000000">
          <w:rPr>
            <w:rFonts w:cs="Times New Roman" w:hAnsi="Times New Roman" w:eastAsia="Times New Roman" w:ascii="Times New Roman"/>
            <w:color w:val="1155cc"/>
            <w:sz w:val="24"/>
            <w:highlight w:val="white"/>
            <w:rtl w:val="0"/>
          </w:rPr>
          <w:t xml:space="preserve">https://www.hospice.org/</w:t>
        </w:r>
      </w:hyperlink>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Ewing, W. (2012). The future of a generation how new americans will help support retiring baby boomers</w:t>
      </w:r>
      <w:r w:rsidRPr="00000000" w:rsidR="00000000" w:rsidDel="00000000">
        <w:rPr>
          <w:rFonts w:cs="Times New Roman" w:hAnsi="Times New Roman" w:eastAsia="Times New Roman" w:ascii="Times New Roman"/>
          <w:i w:val="1"/>
          <w:sz w:val="24"/>
          <w:highlight w:val="white"/>
          <w:rtl w:val="0"/>
        </w:rPr>
        <w:t xml:space="preserve">. </w:t>
      </w:r>
      <w:r w:rsidRPr="00000000" w:rsidR="00000000" w:rsidDel="00000000">
        <w:rPr>
          <w:rFonts w:cs="Times New Roman" w:hAnsi="Times New Roman" w:eastAsia="Times New Roman" w:ascii="Times New Roman"/>
          <w:sz w:val="24"/>
          <w:highlight w:val="white"/>
          <w:rtl w:val="0"/>
        </w:rPr>
        <w:t xml:space="preserve">Retrieved from</w:t>
      </w:r>
      <w:hyperlink r:id="rId7">
        <w:r w:rsidRPr="00000000" w:rsidR="00000000" w:rsidDel="00000000">
          <w:rPr>
            <w:rFonts w:cs="Times New Roman" w:hAnsi="Times New Roman" w:eastAsia="Times New Roman" w:ascii="Times New Roman"/>
            <w:sz w:val="24"/>
            <w:highlight w:val="white"/>
            <w:rtl w:val="0"/>
          </w:rPr>
          <w:t xml:space="preserve"> </w:t>
        </w:r>
      </w:hyperlink>
      <w:hyperlink r:id="rId8">
        <w:r w:rsidRPr="00000000" w:rsidR="00000000" w:rsidDel="00000000">
          <w:rPr>
            <w:rFonts w:cs="Times New Roman" w:hAnsi="Times New Roman" w:eastAsia="Times New Roman" w:ascii="Times New Roman"/>
            <w:color w:val="1155cc"/>
            <w:sz w:val="24"/>
            <w:highlight w:val="white"/>
            <w:rtl w:val="0"/>
          </w:rPr>
          <w:t xml:space="preserve">http://www.aarp.org/</w:t>
        </w:r>
      </w:hyperlink>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Jackson, F., Myers Schim, S., Seely, S., Grunow, K., &amp; Baker, J. (2000). Barriers to hospice care for african americans: problems and solutions. </w:t>
      </w:r>
      <w:r w:rsidRPr="00000000" w:rsidR="00000000" w:rsidDel="00000000">
        <w:rPr>
          <w:rFonts w:cs="Times New Roman" w:hAnsi="Times New Roman" w:eastAsia="Times New Roman" w:ascii="Times New Roman"/>
          <w:i w:val="1"/>
          <w:sz w:val="24"/>
          <w:highlight w:val="white"/>
          <w:rtl w:val="0"/>
        </w:rPr>
        <w:t xml:space="preserve">Journal of Hospice and Palliative Nursing, (2)2. </w:t>
      </w:r>
      <w:r w:rsidRPr="00000000" w:rsidR="00000000" w:rsidDel="00000000">
        <w:rPr>
          <w:rFonts w:cs="Times New Roman" w:hAnsi="Times New Roman" w:eastAsia="Times New Roman" w:ascii="Times New Roman"/>
          <w:sz w:val="24"/>
          <w:highlight w:val="white"/>
          <w:rtl w:val="0"/>
        </w:rPr>
        <w:t xml:space="preserve">Retrieved from http://proxy.library.siue.edu:2068/ehost/pdfviewer/pdfviewer?vid=3&amp;sid=685eea62-603d-4eda-8a1c-cdf0c6c7158d%40sessionmgr111&amp;hid=125</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Mayo clinic staff. (2013). Hospice care: comforting the terminally ill</w:t>
      </w:r>
      <w:r w:rsidRPr="00000000" w:rsidR="00000000" w:rsidDel="00000000">
        <w:rPr>
          <w:rFonts w:cs="Times New Roman" w:hAnsi="Times New Roman" w:eastAsia="Times New Roman" w:ascii="Times New Roman"/>
          <w:i w:val="1"/>
          <w:sz w:val="24"/>
          <w:highlight w:val="white"/>
          <w:rtl w:val="0"/>
        </w:rPr>
        <w:t xml:space="preserve">. </w:t>
      </w:r>
      <w:r w:rsidRPr="00000000" w:rsidR="00000000" w:rsidDel="00000000">
        <w:rPr>
          <w:rFonts w:cs="Times New Roman" w:hAnsi="Times New Roman" w:eastAsia="Times New Roman" w:ascii="Times New Roman"/>
          <w:sz w:val="24"/>
          <w:highlight w:val="white"/>
          <w:rtl w:val="0"/>
        </w:rPr>
        <w:t xml:space="preserve">Retrieved from  </w:t>
      </w:r>
      <w:hyperlink r:id="rId9">
        <w:r w:rsidRPr="00000000" w:rsidR="00000000" w:rsidDel="00000000">
          <w:rPr>
            <w:rFonts w:cs="Times New Roman" w:hAnsi="Times New Roman" w:eastAsia="Times New Roman" w:ascii="Times New Roman"/>
            <w:color w:val="1155cc"/>
            <w:sz w:val="24"/>
            <w:highlight w:val="white"/>
            <w:rtl w:val="0"/>
          </w:rPr>
          <w:t xml:space="preserve">http://www.mayoclinic.org/</w:t>
        </w:r>
      </w:hyperlink>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Medpac. (2012). Hospice services: assessing payment adequacy and updating payments. </w:t>
      </w:r>
      <w:r w:rsidRPr="00000000" w:rsidR="00000000" w:rsidDel="00000000">
        <w:rPr>
          <w:rFonts w:cs="Times New Roman" w:hAnsi="Times New Roman" w:eastAsia="Times New Roman" w:ascii="Times New Roman"/>
          <w:i w:val="1"/>
          <w:sz w:val="24"/>
          <w:highlight w:val="white"/>
          <w:rtl w:val="0"/>
        </w:rPr>
        <w:t xml:space="preserve">Report to the Congress: Medicare Payment Policy.  </w:t>
      </w:r>
      <w:r w:rsidRPr="00000000" w:rsidR="00000000" w:rsidDel="00000000">
        <w:rPr>
          <w:rFonts w:cs="Times New Roman" w:hAnsi="Times New Roman" w:eastAsia="Times New Roman" w:ascii="Times New Roman"/>
          <w:sz w:val="24"/>
          <w:highlight w:val="white"/>
          <w:rtl w:val="0"/>
        </w:rPr>
        <w:t xml:space="preserve">Retrieved from file:///C:/Users/Owner/Downloads/hospice%20resources%20(1).pdf</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Ministry Health Care. (2013). Hospice services</w:t>
      </w:r>
      <w:r w:rsidRPr="00000000" w:rsidR="00000000" w:rsidDel="00000000">
        <w:rPr>
          <w:rFonts w:cs="Times New Roman" w:hAnsi="Times New Roman" w:eastAsia="Times New Roman" w:ascii="Times New Roman"/>
          <w:i w:val="1"/>
          <w:sz w:val="24"/>
          <w:highlight w:val="white"/>
          <w:rtl w:val="0"/>
        </w:rPr>
        <w:t xml:space="preserve">. </w:t>
      </w:r>
      <w:r w:rsidRPr="00000000" w:rsidR="00000000" w:rsidDel="00000000">
        <w:rPr>
          <w:rFonts w:cs="Times New Roman" w:hAnsi="Times New Roman" w:eastAsia="Times New Roman" w:ascii="Times New Roman"/>
          <w:sz w:val="24"/>
          <w:highlight w:val="white"/>
          <w:rtl w:val="0"/>
        </w:rPr>
        <w:t xml:space="preserve">Retrieved from</w:t>
      </w:r>
      <w:hyperlink r:id="rId10">
        <w:r w:rsidRPr="00000000" w:rsidR="00000000" w:rsidDel="00000000">
          <w:rPr>
            <w:rFonts w:cs="Times New Roman" w:hAnsi="Times New Roman" w:eastAsia="Times New Roman" w:ascii="Times New Roman"/>
            <w:sz w:val="24"/>
            <w:highlight w:val="white"/>
            <w:rtl w:val="0"/>
          </w:rPr>
          <w:t xml:space="preserve"> </w:t>
        </w:r>
      </w:hyperlink>
      <w:hyperlink r:id="rId11">
        <w:r w:rsidRPr="00000000" w:rsidR="00000000" w:rsidDel="00000000">
          <w:rPr>
            <w:rFonts w:cs="Times New Roman" w:hAnsi="Times New Roman" w:eastAsia="Times New Roman" w:ascii="Times New Roman"/>
            <w:color w:val="1155cc"/>
            <w:sz w:val="24"/>
            <w:highlight w:val="white"/>
            <w:rtl w:val="0"/>
          </w:rPr>
          <w:t xml:space="preserve">http://ministryhealth.org/</w:t>
        </w:r>
      </w:hyperlink>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highlight w:val="white"/>
          <w:rtl w:val="0"/>
        </w:rPr>
        <w:t xml:space="preserve">Schockett, E., Teno, J., Miller, S., &amp; Stuart, B. (2005). Later referral to hospice and bereaved family member perception of quality of end-of-life care. </w:t>
      </w:r>
      <w:r w:rsidRPr="00000000" w:rsidR="00000000" w:rsidDel="00000000">
        <w:rPr>
          <w:rFonts w:cs="Times New Roman" w:hAnsi="Times New Roman" w:eastAsia="Times New Roman" w:ascii="Times New Roman"/>
          <w:i w:val="1"/>
          <w:sz w:val="24"/>
          <w:highlight w:val="white"/>
          <w:rtl w:val="0"/>
        </w:rPr>
        <w:t xml:space="preserve">Journal of Pain and Symptom Management, 30(5).</w:t>
      </w:r>
      <w:r w:rsidRPr="00000000" w:rsidR="00000000" w:rsidDel="00000000">
        <w:rPr>
          <w:rFonts w:cs="Times New Roman" w:hAnsi="Times New Roman" w:eastAsia="Times New Roman" w:ascii="Times New Roman"/>
          <w:sz w:val="24"/>
          <w:highlight w:val="white"/>
          <w:rtl w:val="0"/>
        </w:rPr>
        <w:t xml:space="preserve"> Retrieved from http://www.jpsmjournal.com/article/S0885-3924(05)00472-0/fulltext</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Stanley, J. M. (2003). What the people would want if they knew more about it: a case for the social marketing of hospice care. </w:t>
      </w:r>
      <w:r w:rsidRPr="00000000" w:rsidR="00000000" w:rsidDel="00000000">
        <w:rPr>
          <w:rFonts w:cs="Times New Roman" w:hAnsi="Times New Roman" w:eastAsia="Times New Roman" w:ascii="Times New Roman"/>
          <w:i w:val="1"/>
          <w:sz w:val="24"/>
          <w:rtl w:val="0"/>
        </w:rPr>
        <w:t xml:space="preserve">Hastings Center Report</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i w:val="1"/>
          <w:sz w:val="24"/>
          <w:rtl w:val="0"/>
        </w:rPr>
        <w:t xml:space="preserve">22-23</w:t>
      </w:r>
      <w:r w:rsidRPr="00000000" w:rsidR="00000000" w:rsidDel="00000000">
        <w:rPr>
          <w:rFonts w:cs="Times New Roman" w:hAnsi="Times New Roman" w:eastAsia="Times New Roman" w:ascii="Times New Roman"/>
          <w:sz w:val="24"/>
          <w:rtl w:val="0"/>
        </w:rPr>
        <w:t xml:space="preserve">. Retrieved from</w:t>
      </w:r>
      <w:hyperlink r:id="rId12">
        <w:r w:rsidRPr="00000000" w:rsidR="00000000" w:rsidDel="00000000">
          <w:rPr>
            <w:rFonts w:cs="Times New Roman" w:hAnsi="Times New Roman" w:eastAsia="Times New Roman" w:ascii="Times New Roman"/>
            <w:sz w:val="24"/>
            <w:rtl w:val="0"/>
          </w:rPr>
          <w:t xml:space="preserve"> </w:t>
        </w:r>
      </w:hyperlink>
      <w:hyperlink r:id="rId13">
        <w:r w:rsidRPr="00000000" w:rsidR="00000000" w:rsidDel="00000000">
          <w:rPr>
            <w:rFonts w:cs="Times New Roman" w:hAnsi="Times New Roman" w:eastAsia="Times New Roman" w:ascii="Times New Roman"/>
            <w:color w:val="1155cc"/>
            <w:sz w:val="24"/>
            <w:rtl w:val="0"/>
          </w:rPr>
          <w:t xml:space="preserve">http://www.biomedsearch.com/article/What-People-Would-Want-If/101259997.html</w:t>
        </w:r>
      </w:hyperlink>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contextualSpacing w:val="0"/>
        <w:jc w:val="center"/>
        <w:rPr/>
      </w:pPr>
      <w:r w:rsidRPr="00000000" w:rsidR="00000000" w:rsidDel="00000000">
        <w:rPr>
          <w:rFonts w:cs="Times New Roman" w:hAnsi="Times New Roman" w:eastAsia="Times New Roman" w:ascii="Times New Roman"/>
          <w:sz w:val="24"/>
          <w:rtl w:val="0"/>
        </w:rPr>
        <w:t xml:space="preserve">United States Census Bureau. (2014). Madison county illinois. </w:t>
      </w:r>
      <w:r w:rsidRPr="00000000" w:rsidR="00000000" w:rsidDel="00000000">
        <w:rPr>
          <w:rFonts w:cs="Times New Roman" w:hAnsi="Times New Roman" w:eastAsia="Times New Roman" w:ascii="Times New Roman"/>
          <w:i w:val="1"/>
          <w:sz w:val="24"/>
          <w:rtl w:val="0"/>
        </w:rPr>
        <w:t xml:space="preserve">US Department of Commerce. </w:t>
      </w:r>
      <w:r w:rsidRPr="00000000" w:rsidR="00000000" w:rsidDel="00000000">
        <w:rPr>
          <w:rFonts w:cs="Times New Roman" w:hAnsi="Times New Roman" w:eastAsia="Times New Roman" w:ascii="Times New Roman"/>
          <w:sz w:val="24"/>
          <w:rtl w:val="0"/>
        </w:rPr>
        <w:t xml:space="preserve">Retrieved from</w:t>
      </w:r>
      <w:hyperlink r:id="rId14">
        <w:r w:rsidRPr="00000000" w:rsidR="00000000" w:rsidDel="00000000">
          <w:rPr>
            <w:rFonts w:cs="Times New Roman" w:hAnsi="Times New Roman" w:eastAsia="Times New Roman" w:ascii="Times New Roman"/>
            <w:sz w:val="24"/>
            <w:rtl w:val="0"/>
          </w:rPr>
          <w:t xml:space="preserve"> </w:t>
        </w:r>
      </w:hyperlink>
      <w:hyperlink r:id="rId15">
        <w:r w:rsidRPr="00000000" w:rsidR="00000000" w:rsidDel="00000000">
          <w:rPr>
            <w:rFonts w:cs="Times New Roman" w:hAnsi="Times New Roman" w:eastAsia="Times New Roman" w:ascii="Times New Roman"/>
            <w:color w:val="1155cc"/>
            <w:sz w:val="24"/>
            <w:rtl w:val="0"/>
          </w:rPr>
          <w:t xml:space="preserve">http://quickfacts.census.gov/qfd/states/17/17119.html</w:t>
        </w:r>
      </w:hyperlink>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widowControl w:val="0"/>
        <w:ind w:left="720"/>
        <w:contextualSpacing w:val="0"/>
        <w:rPr/>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http://quickfacts.census.gov/qfd/states/17/17119.html" Type="http://schemas.openxmlformats.org/officeDocument/2006/relationships/hyperlink" TargetMode="External" Id="rId15"/><Relationship Target="http://quickfacts.census.gov/qfd/states/17/17119.html" Type="http://schemas.openxmlformats.org/officeDocument/2006/relationships/hyperlink" TargetMode="External" Id="rId14"/><Relationship Target="fontTable.xml" Type="http://schemas.openxmlformats.org/officeDocument/2006/relationships/fontTable" Id="rId2"/><Relationship Target="http://www.biomedsearch.com/article/What-People-Would-Want-If/101259997.html" Type="http://schemas.openxmlformats.org/officeDocument/2006/relationships/hyperlink" TargetMode="External" Id="rId12"/><Relationship Target="http://www.biomedsearch.com/article/What-People-Would-Want-If/101259997.html" Type="http://schemas.openxmlformats.org/officeDocument/2006/relationships/hyperlink" TargetMode="External" Id="rId13"/><Relationship Target="settings.xml" Type="http://schemas.openxmlformats.org/officeDocument/2006/relationships/settings" Id="rId1"/><Relationship Target="styles.xml" Type="http://schemas.openxmlformats.org/officeDocument/2006/relationships/styles" Id="rId4"/><Relationship Target="http://ministryhealth.org/" Type="http://schemas.openxmlformats.org/officeDocument/2006/relationships/hyperlink" TargetMode="External" Id="rId10"/><Relationship Target="numbering.xml" Type="http://schemas.openxmlformats.org/officeDocument/2006/relationships/numbering" Id="rId3"/><Relationship Target="http://ministryhealth.org/" Type="http://schemas.openxmlformats.org/officeDocument/2006/relationships/hyperlink" TargetMode="External" Id="rId11"/><Relationship Target="http://www.mayoclinic.org/" Type="http://schemas.openxmlformats.org/officeDocument/2006/relationships/hyperlink" TargetMode="External" Id="rId9"/><Relationship Target="https://www.hospice.org/" Type="http://schemas.openxmlformats.org/officeDocument/2006/relationships/hyperlink" TargetMode="External" Id="rId6"/><Relationship Target="https://www.hospice.org/" Type="http://schemas.openxmlformats.org/officeDocument/2006/relationships/hyperlink" TargetMode="External" Id="rId5"/><Relationship Target="http://www.aarp.org/" Type="http://schemas.openxmlformats.org/officeDocument/2006/relationships/hyperlink" TargetMode="External" Id="rId8"/><Relationship Target="http://www.aarp.org/"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grant.docx</dc:title>
</cp:coreProperties>
</file>